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25" w:rsidRDefault="00D50E28" w:rsidP="00432832">
      <w:pPr>
        <w:keepLines/>
        <w:numPr>
          <w:ilvl w:val="0"/>
          <w:numId w:val="1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 w:rsidRPr="00A72700">
        <w:rPr>
          <w:rFonts w:ascii="Arial" w:hAnsi="Arial" w:cs="Arial"/>
          <w:sz w:val="22"/>
          <w:szCs w:val="22"/>
        </w:rPr>
        <w:t>The Transport Legislation (Port Pilotage) Amendment Bill 2013 transfers</w:t>
      </w:r>
      <w:r w:rsidRPr="000D0DFA">
        <w:rPr>
          <w:rFonts w:ascii="Arial" w:hAnsi="Arial" w:cs="Arial"/>
          <w:sz w:val="22"/>
          <w:szCs w:val="22"/>
        </w:rPr>
        <w:t xml:space="preserve"> the responsibility to provide and deliver port pilotage services for ports north of Brisbane (excluding Abbot Point) from Maritime Safety Queensland (MSQ) to the government owned port authorities.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50E28" w:rsidRPr="00A72700" w:rsidRDefault="00D50E28" w:rsidP="00432832">
      <w:pPr>
        <w:keepLines/>
        <w:numPr>
          <w:ilvl w:val="0"/>
          <w:numId w:val="19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A72700">
        <w:rPr>
          <w:rFonts w:ascii="Arial" w:hAnsi="Arial" w:cs="Arial"/>
          <w:sz w:val="22"/>
          <w:szCs w:val="22"/>
        </w:rPr>
        <w:t>The amendments in the Bill include: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providing that the provision of, or arranging for the provision of, pilotage services in specified compulsory pilotage areas is a function of port authorities;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providing a general obligation for safety in the provision of pilotage services for responsible pilotage entities and parties who have entered into a written agreement with them for the delivery of pilotage services;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provide that a harbour master may give a direction to a responsible pilotage entities and other parties who enter into a written agreement with responsible pilotage entities for the provision of pilotage services to provide pilotage services in a specified way;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authorising pilots to have conduct of a ship if they are employed by, or are acting under a written agreement with, the responsible pilotage entity responsible for pilotage services that compulsory pilotage area;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 xml:space="preserve">extending the existing immunity from civil liability scheme for pilotage to cover responsible pilotage entities and other parties who enter into a written agreement with responsible pilotage entities for the provision of pilotage services; 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providing that MSQ may transfer pilotage fees to the responsible pilotage entities;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transferring the employment of pilots and pilot transfer crew to the relevant port authority or subsidiary;</w:t>
      </w:r>
    </w:p>
    <w:p w:rsidR="006144FE" w:rsidRPr="006144F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 xml:space="preserve">transferring contracts associated with pilotage and pilots’ employment to the relevant port authority or subsidiary; </w:t>
      </w:r>
      <w:r w:rsidR="00432832">
        <w:rPr>
          <w:rFonts w:ascii="Arial" w:hAnsi="Arial" w:cs="Arial"/>
          <w:sz w:val="22"/>
          <w:szCs w:val="22"/>
        </w:rPr>
        <w:t>and</w:t>
      </w:r>
    </w:p>
    <w:p w:rsidR="006144FE" w:rsidRPr="00A726DE" w:rsidRDefault="006144FE" w:rsidP="00432832">
      <w:pPr>
        <w:keepLines/>
        <w:numPr>
          <w:ilvl w:val="1"/>
          <w:numId w:val="11"/>
        </w:numPr>
        <w:spacing w:before="120"/>
        <w:ind w:left="850" w:hanging="425"/>
        <w:jc w:val="both"/>
        <w:rPr>
          <w:rFonts w:ascii="Arial" w:hAnsi="Arial" w:cs="Arial"/>
          <w:sz w:val="22"/>
          <w:szCs w:val="22"/>
        </w:rPr>
      </w:pPr>
      <w:r w:rsidRPr="006144FE">
        <w:rPr>
          <w:rFonts w:ascii="Arial" w:hAnsi="Arial" w:cs="Arial"/>
          <w:sz w:val="22"/>
          <w:szCs w:val="22"/>
        </w:rPr>
        <w:t>making provision for the transfer of assets, leases, instruments and other matters to the relevant port authority or subsidiary by transfer notice</w:t>
      </w:r>
      <w:r w:rsidR="00A726DE">
        <w:rPr>
          <w:rFonts w:ascii="Arial" w:hAnsi="Arial" w:cs="Arial"/>
          <w:sz w:val="22"/>
          <w:szCs w:val="22"/>
        </w:rPr>
        <w:t>.</w:t>
      </w:r>
    </w:p>
    <w:p w:rsidR="00816407" w:rsidRPr="00432832" w:rsidRDefault="00816407" w:rsidP="00432832">
      <w:pPr>
        <w:keepLines/>
        <w:numPr>
          <w:ilvl w:val="0"/>
          <w:numId w:val="19"/>
        </w:numPr>
        <w:spacing w:before="240"/>
        <w:ind w:left="357" w:hanging="357"/>
        <w:jc w:val="both"/>
        <w:rPr>
          <w:rFonts w:ascii="Arial" w:hAnsi="Arial" w:cs="Arial"/>
          <w:iCs/>
          <w:noProof/>
          <w:sz w:val="22"/>
          <w:szCs w:val="24"/>
        </w:rPr>
      </w:pPr>
      <w:r w:rsidRPr="00A726DE">
        <w:rPr>
          <w:rFonts w:ascii="Arial" w:hAnsi="Arial" w:cs="Arial"/>
          <w:sz w:val="22"/>
          <w:szCs w:val="22"/>
          <w:u w:val="single"/>
        </w:rPr>
        <w:t>Cabinet approved</w:t>
      </w:r>
      <w:r w:rsidRPr="00A726DE">
        <w:rPr>
          <w:rFonts w:ascii="Arial" w:hAnsi="Arial" w:cs="Arial"/>
          <w:sz w:val="22"/>
          <w:szCs w:val="22"/>
        </w:rPr>
        <w:t xml:space="preserve"> </w:t>
      </w:r>
      <w:r w:rsidRPr="000D0DFA">
        <w:rPr>
          <w:rFonts w:ascii="Arial" w:hAnsi="Arial" w:cs="Arial"/>
          <w:sz w:val="22"/>
          <w:szCs w:val="22"/>
        </w:rPr>
        <w:t>the introduction of the Transport Legislation (Port Pilotage) Amendment Bill 2013</w:t>
      </w:r>
      <w:r w:rsidR="00D50E28">
        <w:rPr>
          <w:rFonts w:ascii="Arial" w:hAnsi="Arial" w:cs="Arial"/>
          <w:sz w:val="22"/>
          <w:szCs w:val="22"/>
        </w:rPr>
        <w:t xml:space="preserve"> into the </w:t>
      </w:r>
      <w:r w:rsidR="00432832">
        <w:rPr>
          <w:rFonts w:ascii="Arial" w:hAnsi="Arial" w:cs="Arial"/>
          <w:sz w:val="22"/>
          <w:szCs w:val="22"/>
        </w:rPr>
        <w:t>Legislative Ass</w:t>
      </w:r>
      <w:r w:rsidR="00D50E28">
        <w:rPr>
          <w:rFonts w:ascii="Arial" w:hAnsi="Arial" w:cs="Arial"/>
          <w:sz w:val="22"/>
          <w:szCs w:val="22"/>
        </w:rPr>
        <w:t>embly</w:t>
      </w:r>
      <w:r w:rsidRPr="000D0DFA">
        <w:rPr>
          <w:rFonts w:ascii="Arial" w:hAnsi="Arial" w:cs="Arial"/>
          <w:sz w:val="22"/>
          <w:szCs w:val="22"/>
        </w:rPr>
        <w:t>.</w:t>
      </w:r>
    </w:p>
    <w:p w:rsidR="00816407" w:rsidRPr="00A726DE" w:rsidRDefault="00816407" w:rsidP="00432832">
      <w:pPr>
        <w:keepLines/>
        <w:numPr>
          <w:ilvl w:val="0"/>
          <w:numId w:val="19"/>
        </w:numPr>
        <w:spacing w:before="36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726DE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432832" w:rsidRDefault="00E37401" w:rsidP="00432832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432832" w:rsidRPr="00AD345E">
          <w:rPr>
            <w:rStyle w:val="Hyperlink"/>
            <w:rFonts w:ascii="Arial" w:hAnsi="Arial" w:cs="Arial"/>
            <w:sz w:val="22"/>
            <w:szCs w:val="22"/>
          </w:rPr>
          <w:t>Transport Legislation (Port Pilotage) Amendment Bill 2013</w:t>
        </w:r>
      </w:hyperlink>
    </w:p>
    <w:p w:rsidR="0090211D" w:rsidRPr="00A726DE" w:rsidRDefault="00E37401" w:rsidP="00432832">
      <w:pPr>
        <w:numPr>
          <w:ilvl w:val="0"/>
          <w:numId w:val="10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8" w:history="1">
        <w:r w:rsidR="00816407" w:rsidRPr="00AD345E">
          <w:rPr>
            <w:rStyle w:val="Hyperlink"/>
            <w:rFonts w:ascii="Arial" w:hAnsi="Arial" w:cs="Arial"/>
            <w:sz w:val="22"/>
            <w:szCs w:val="22"/>
          </w:rPr>
          <w:t>Explanatory Note</w:t>
        </w:r>
        <w:r w:rsidR="00A726DE" w:rsidRPr="00AD345E">
          <w:rPr>
            <w:rStyle w:val="Hyperlink"/>
            <w:rFonts w:ascii="Arial" w:hAnsi="Arial" w:cs="Arial"/>
            <w:sz w:val="22"/>
            <w:szCs w:val="22"/>
          </w:rPr>
          <w:t>s</w:t>
        </w:r>
      </w:hyperlink>
    </w:p>
    <w:sectPr w:rsidR="0090211D" w:rsidRPr="00A726DE" w:rsidSect="0043283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F3" w:rsidRDefault="00535EF3">
      <w:r>
        <w:separator/>
      </w:r>
    </w:p>
  </w:endnote>
  <w:endnote w:type="continuationSeparator" w:id="0">
    <w:p w:rsidR="00535EF3" w:rsidRDefault="0053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A7" w:rsidRDefault="008013A7">
    <w:pPr>
      <w:pStyle w:val="Footer"/>
    </w:pPr>
    <w:r>
      <w:tab/>
    </w:r>
    <w:r>
      <w:fldChar w:fldCharType="begin"/>
    </w:r>
    <w:r>
      <w:instrText xml:space="preserve"> DATE SAVEDATE \@ "d MMMM yyyy" \* MERGEFORMAT </w:instrText>
    </w:r>
    <w:r>
      <w:fldChar w:fldCharType="separate"/>
    </w:r>
    <w:r w:rsidR="00E37401">
      <w:rPr>
        <w:noProof/>
      </w:rPr>
      <w:t>6 March 2018</w:t>
    </w:r>
    <w:r>
      <w:fldChar w:fldCharType="end"/>
    </w:r>
    <w:r>
      <w:tab/>
    </w: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3A7" w:rsidRDefault="008013A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F3" w:rsidRDefault="00535EF3">
      <w:r>
        <w:separator/>
      </w:r>
    </w:p>
  </w:footnote>
  <w:footnote w:type="continuationSeparator" w:id="0">
    <w:p w:rsidR="00535EF3" w:rsidRDefault="00535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DE" w:rsidRDefault="00A726DE" w:rsidP="00A726DE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A726DE" w:rsidRDefault="00A726DE" w:rsidP="00A726DE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A726DE" w:rsidRDefault="00A726DE" w:rsidP="00A726DE">
    <w:pPr>
      <w:pBdr>
        <w:top w:val="thinThickLargeGap" w:sz="24" w:space="0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2013</w:t>
    </w:r>
  </w:p>
  <w:p w:rsidR="00A726DE" w:rsidRPr="00A726DE" w:rsidRDefault="00A726DE" w:rsidP="00A726DE">
    <w:pPr>
      <w:pStyle w:val="Header"/>
      <w:spacing w:before="120"/>
      <w:rPr>
        <w:rFonts w:cs="Arial"/>
        <w:b/>
        <w:sz w:val="22"/>
        <w:szCs w:val="22"/>
        <w:u w:val="single"/>
      </w:rPr>
    </w:pPr>
    <w:r w:rsidRPr="00A726DE">
      <w:rPr>
        <w:rFonts w:cs="Arial"/>
        <w:b/>
        <w:sz w:val="22"/>
        <w:szCs w:val="22"/>
        <w:u w:val="single"/>
      </w:rPr>
      <w:t>Transport Legislation (Port Pilotage) Amendment Bill 2013</w:t>
    </w:r>
  </w:p>
  <w:p w:rsidR="00A726DE" w:rsidRPr="00043CEE" w:rsidRDefault="00A726DE" w:rsidP="00A726DE">
    <w:pPr>
      <w:pStyle w:val="Header"/>
      <w:spacing w:before="120"/>
      <w:rPr>
        <w:rFonts w:cs="Arial"/>
        <w:b/>
        <w:sz w:val="22"/>
        <w:szCs w:val="22"/>
      </w:rPr>
    </w:pPr>
    <w:r w:rsidRPr="00A726DE">
      <w:rPr>
        <w:rFonts w:cs="Arial"/>
        <w:b/>
        <w:sz w:val="22"/>
        <w:szCs w:val="22"/>
        <w:u w:val="single"/>
      </w:rPr>
      <w:t>Minister for Transport and Main Roads</w:t>
    </w:r>
  </w:p>
  <w:p w:rsidR="00A726DE" w:rsidRDefault="00A726DE" w:rsidP="00A726D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3F5"/>
    <w:multiLevelType w:val="multilevel"/>
    <w:tmpl w:val="4A60CE4A"/>
    <w:lvl w:ilvl="0">
      <w:start w:val="1"/>
      <w:numFmt w:val="bullet"/>
      <w:pStyle w:val="Portfolio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Portfolio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Portfolio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1"/>
        </w:tabs>
        <w:ind w:left="4321" w:hanging="72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1"/>
        </w:tabs>
        <w:ind w:left="5761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1"/>
        </w:tabs>
        <w:ind w:left="6481" w:hanging="720"/>
      </w:pPr>
      <w:rPr>
        <w:rFonts w:ascii="Symbol" w:hAnsi="Symbol" w:hint="default"/>
      </w:rPr>
    </w:lvl>
  </w:abstractNum>
  <w:abstractNum w:abstractNumId="1" w15:restartNumberingAfterBreak="0">
    <w:nsid w:val="09F82629"/>
    <w:multiLevelType w:val="hybridMultilevel"/>
    <w:tmpl w:val="7166D7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82814"/>
    <w:multiLevelType w:val="multilevel"/>
    <w:tmpl w:val="D430DF72"/>
    <w:lvl w:ilvl="0">
      <w:start w:val="1"/>
      <w:numFmt w:val="decimal"/>
      <w:lvlRestart w:val="0"/>
      <w:pStyle w:val="PortfolioNumberList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ortfolioNumberListLevel11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PortfolioNumberListLevel111"/>
      <w:lvlText w:val="%1.%2.%3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3" w15:restartNumberingAfterBreak="0">
    <w:nsid w:val="241A4483"/>
    <w:multiLevelType w:val="multilevel"/>
    <w:tmpl w:val="660685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321" w:hanging="7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1"/>
        </w:tabs>
        <w:ind w:left="5041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1"/>
        </w:tabs>
        <w:ind w:left="5761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1"/>
        </w:tabs>
        <w:ind w:left="6481" w:hanging="720"/>
      </w:pPr>
      <w:rPr>
        <w:rFonts w:hint="default"/>
      </w:rPr>
    </w:lvl>
  </w:abstractNum>
  <w:abstractNum w:abstractNumId="4" w15:restartNumberingAfterBreak="0">
    <w:nsid w:val="32912283"/>
    <w:multiLevelType w:val="multilevel"/>
    <w:tmpl w:val="86F4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3DA76CD0"/>
    <w:multiLevelType w:val="hybridMultilevel"/>
    <w:tmpl w:val="2C840BC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05E1E92"/>
    <w:multiLevelType w:val="multilevel"/>
    <w:tmpl w:val="9DA697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7553D31"/>
    <w:multiLevelType w:val="hybridMultilevel"/>
    <w:tmpl w:val="705860A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A8430F"/>
    <w:multiLevelType w:val="multilevel"/>
    <w:tmpl w:val="1B92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8A241C"/>
    <w:multiLevelType w:val="multilevel"/>
    <w:tmpl w:val="EE000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57EF3478"/>
    <w:multiLevelType w:val="multilevel"/>
    <w:tmpl w:val="F98A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04217B"/>
    <w:multiLevelType w:val="multilevel"/>
    <w:tmpl w:val="5558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636"/>
        </w:tabs>
        <w:ind w:left="163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7AA90608"/>
    <w:multiLevelType w:val="hybridMultilevel"/>
    <w:tmpl w:val="1B922D8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2"/>
  </w:num>
  <w:num w:numId="10">
    <w:abstractNumId w:val="1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0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8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07"/>
    <w:rsid w:val="00000CFB"/>
    <w:rsid w:val="0001635E"/>
    <w:rsid w:val="00042991"/>
    <w:rsid w:val="00053CBB"/>
    <w:rsid w:val="000D0DFA"/>
    <w:rsid w:val="000D5F33"/>
    <w:rsid w:val="000E71EA"/>
    <w:rsid w:val="001139C4"/>
    <w:rsid w:val="00132066"/>
    <w:rsid w:val="0017456B"/>
    <w:rsid w:val="001C4C60"/>
    <w:rsid w:val="001D140A"/>
    <w:rsid w:val="002353A3"/>
    <w:rsid w:val="00242C92"/>
    <w:rsid w:val="0024410C"/>
    <w:rsid w:val="00251625"/>
    <w:rsid w:val="002577B0"/>
    <w:rsid w:val="0027092D"/>
    <w:rsid w:val="0029743D"/>
    <w:rsid w:val="00351675"/>
    <w:rsid w:val="003C4C80"/>
    <w:rsid w:val="003D78EF"/>
    <w:rsid w:val="00432832"/>
    <w:rsid w:val="00447849"/>
    <w:rsid w:val="004E71BC"/>
    <w:rsid w:val="00511DF9"/>
    <w:rsid w:val="005325C9"/>
    <w:rsid w:val="00535EF3"/>
    <w:rsid w:val="0054541D"/>
    <w:rsid w:val="00565E22"/>
    <w:rsid w:val="005C595C"/>
    <w:rsid w:val="006144FE"/>
    <w:rsid w:val="006174BC"/>
    <w:rsid w:val="00690D37"/>
    <w:rsid w:val="006A568A"/>
    <w:rsid w:val="006C5A95"/>
    <w:rsid w:val="006E62A0"/>
    <w:rsid w:val="00746C8F"/>
    <w:rsid w:val="007B5C71"/>
    <w:rsid w:val="008013A7"/>
    <w:rsid w:val="00816407"/>
    <w:rsid w:val="0089761B"/>
    <w:rsid w:val="008A764E"/>
    <w:rsid w:val="008E547A"/>
    <w:rsid w:val="0090211D"/>
    <w:rsid w:val="0093059E"/>
    <w:rsid w:val="009D2FD7"/>
    <w:rsid w:val="00A726DE"/>
    <w:rsid w:val="00A72700"/>
    <w:rsid w:val="00AD345E"/>
    <w:rsid w:val="00B103FF"/>
    <w:rsid w:val="00B357B5"/>
    <w:rsid w:val="00B45BE5"/>
    <w:rsid w:val="00B57E48"/>
    <w:rsid w:val="00BD0613"/>
    <w:rsid w:val="00BE4F98"/>
    <w:rsid w:val="00C13DDF"/>
    <w:rsid w:val="00C65662"/>
    <w:rsid w:val="00C710C0"/>
    <w:rsid w:val="00D24A36"/>
    <w:rsid w:val="00D42957"/>
    <w:rsid w:val="00D47213"/>
    <w:rsid w:val="00D50E28"/>
    <w:rsid w:val="00D9725C"/>
    <w:rsid w:val="00DA3B29"/>
    <w:rsid w:val="00E37401"/>
    <w:rsid w:val="00E64ED8"/>
    <w:rsid w:val="00EB71BC"/>
    <w:rsid w:val="00F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0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rtfolioFooter">
    <w:name w:val="Portfolio_Footer"/>
    <w:basedOn w:val="PortfolioBase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5"/>
    </w:rPr>
  </w:style>
  <w:style w:type="paragraph" w:customStyle="1" w:styleId="PortfolioBase">
    <w:name w:val="Portfolio_Base"/>
    <w:pPr>
      <w:keepLines/>
      <w:spacing w:line="300" w:lineRule="atLeast"/>
    </w:pPr>
    <w:rPr>
      <w:sz w:val="22"/>
      <w:lang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5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/>
      <w:sz w:val="15"/>
    </w:rPr>
  </w:style>
  <w:style w:type="paragraph" w:customStyle="1" w:styleId="Footer2">
    <w:name w:val="Footer 2"/>
    <w:basedOn w:val="Footer"/>
    <w:pPr>
      <w:pBdr>
        <w:top w:val="single" w:sz="4" w:space="4" w:color="auto"/>
      </w:pBdr>
    </w:pPr>
  </w:style>
  <w:style w:type="paragraph" w:customStyle="1" w:styleId="Header2">
    <w:name w:val="Header 2"/>
    <w:basedOn w:val="Header"/>
    <w:pPr>
      <w:pBdr>
        <w:bottom w:val="single" w:sz="4" w:space="4" w:color="auto"/>
      </w:pBdr>
    </w:pPr>
  </w:style>
  <w:style w:type="paragraph" w:customStyle="1" w:styleId="PortfolioApprovalBox">
    <w:name w:val="Portfolio_ApprovalBox"/>
    <w:basedOn w:val="PortfolioBase"/>
    <w:pPr>
      <w:keepNext/>
      <w:spacing w:line="240" w:lineRule="auto"/>
      <w:ind w:left="2126" w:hanging="2126"/>
    </w:pPr>
    <w:rPr>
      <w:sz w:val="20"/>
    </w:rPr>
  </w:style>
  <w:style w:type="paragraph" w:customStyle="1" w:styleId="PortfolioAuthor">
    <w:name w:val="Portfolio_Author"/>
    <w:basedOn w:val="PortfolioBase"/>
  </w:style>
  <w:style w:type="paragraph" w:customStyle="1" w:styleId="PortfolioBullet">
    <w:name w:val="Portfolio_Bullet"/>
    <w:basedOn w:val="PortfolioBase"/>
    <w:pPr>
      <w:numPr>
        <w:numId w:val="1"/>
      </w:numPr>
      <w:spacing w:after="120"/>
    </w:pPr>
  </w:style>
  <w:style w:type="paragraph" w:customStyle="1" w:styleId="PortfolioBullet2">
    <w:name w:val="Portfolio_Bullet2"/>
    <w:basedOn w:val="PortfolioBase"/>
    <w:pPr>
      <w:numPr>
        <w:ilvl w:val="1"/>
        <w:numId w:val="2"/>
      </w:numPr>
      <w:spacing w:after="120"/>
    </w:pPr>
  </w:style>
  <w:style w:type="paragraph" w:customStyle="1" w:styleId="PortfolioBullet3">
    <w:name w:val="Portfolio_Bullet3"/>
    <w:basedOn w:val="PortfolioBase"/>
    <w:pPr>
      <w:numPr>
        <w:ilvl w:val="2"/>
        <w:numId w:val="3"/>
      </w:numPr>
      <w:spacing w:after="120"/>
    </w:pPr>
  </w:style>
  <w:style w:type="paragraph" w:customStyle="1" w:styleId="PortfolioFileFooter">
    <w:name w:val="Portfolio_File Footer"/>
    <w:basedOn w:val="PortfolioFooter"/>
    <w:pPr>
      <w:tabs>
        <w:tab w:val="clear" w:pos="4536"/>
        <w:tab w:val="clear" w:pos="9072"/>
      </w:tabs>
      <w:jc w:val="right"/>
    </w:pPr>
    <w:rPr>
      <w:sz w:val="12"/>
    </w:rPr>
  </w:style>
  <w:style w:type="paragraph" w:customStyle="1" w:styleId="PortfolioFormFields">
    <w:name w:val="Portfolio_FormFields"/>
    <w:basedOn w:val="PortfolioBase"/>
    <w:pPr>
      <w:spacing w:line="200" w:lineRule="atLeast"/>
      <w:ind w:left="7598" w:hanging="624"/>
    </w:pPr>
    <w:rPr>
      <w:rFonts w:ascii="Arial" w:hAnsi="Arial"/>
      <w:sz w:val="15"/>
      <w:szCs w:val="24"/>
    </w:rPr>
  </w:style>
  <w:style w:type="paragraph" w:customStyle="1" w:styleId="PortfolioFooterAddress">
    <w:name w:val="Portfolio_Footer Address"/>
    <w:basedOn w:val="PortfolioBase"/>
    <w:pPr>
      <w:tabs>
        <w:tab w:val="left" w:pos="5897"/>
      </w:tabs>
      <w:spacing w:line="200" w:lineRule="atLeast"/>
      <w:ind w:left="6691" w:hanging="6691"/>
    </w:pPr>
    <w:rPr>
      <w:rFonts w:ascii="Arial" w:hAnsi="Arial"/>
      <w:sz w:val="15"/>
    </w:rPr>
  </w:style>
  <w:style w:type="paragraph" w:customStyle="1" w:styleId="PortfolioNumberListLevel1">
    <w:name w:val="Portfolio_Number List (Level 1)"/>
    <w:basedOn w:val="PortfolioBase"/>
    <w:pPr>
      <w:numPr>
        <w:numId w:val="7"/>
      </w:numPr>
      <w:spacing w:after="120"/>
    </w:pPr>
  </w:style>
  <w:style w:type="paragraph" w:customStyle="1" w:styleId="PortfolioNumberListLevel11">
    <w:name w:val="Portfolio_Number List (Level 1.1)"/>
    <w:basedOn w:val="PortfolioBase"/>
    <w:pPr>
      <w:numPr>
        <w:ilvl w:val="1"/>
        <w:numId w:val="8"/>
      </w:numPr>
      <w:spacing w:after="120"/>
    </w:pPr>
  </w:style>
  <w:style w:type="paragraph" w:customStyle="1" w:styleId="PortfolioNumberListLevel111">
    <w:name w:val="Portfolio_Number List (Level 1.1.1)"/>
    <w:basedOn w:val="PortfolioBase"/>
    <w:pPr>
      <w:numPr>
        <w:ilvl w:val="2"/>
        <w:numId w:val="9"/>
      </w:numPr>
      <w:tabs>
        <w:tab w:val="clear" w:pos="2214"/>
        <w:tab w:val="left" w:pos="1701"/>
      </w:tabs>
      <w:spacing w:after="120"/>
    </w:pPr>
    <w:rPr>
      <w:szCs w:val="24"/>
    </w:rPr>
  </w:style>
  <w:style w:type="paragraph" w:customStyle="1" w:styleId="PortfolioSubject">
    <w:name w:val="Portfolio_Subject"/>
    <w:basedOn w:val="PortfolioBase"/>
    <w:rPr>
      <w:b/>
    </w:rPr>
  </w:style>
  <w:style w:type="paragraph" w:customStyle="1" w:styleId="PortfolioReference">
    <w:name w:val="Portfolio_Reference"/>
    <w:basedOn w:val="PortfolioBase"/>
    <w:pPr>
      <w:keepLines w:val="0"/>
      <w:spacing w:line="160" w:lineRule="atLeast"/>
    </w:pPr>
    <w:rPr>
      <w:sz w:val="16"/>
    </w:rPr>
  </w:style>
  <w:style w:type="character" w:customStyle="1" w:styleId="HeaderChar">
    <w:name w:val="Header Char"/>
    <w:link w:val="Header"/>
    <w:semiHidden/>
    <w:locked/>
    <w:rsid w:val="00816407"/>
    <w:rPr>
      <w:rFonts w:ascii="Arial" w:hAnsi="Arial"/>
      <w:sz w:val="15"/>
      <w:szCs w:val="24"/>
      <w:lang w:val="en-AU" w:eastAsia="en-AU" w:bidi="ar-SA"/>
    </w:rPr>
  </w:style>
  <w:style w:type="paragraph" w:styleId="BalloonText">
    <w:name w:val="Balloon Text"/>
    <w:basedOn w:val="Normal"/>
    <w:semiHidden/>
    <w:rsid w:val="000D5F33"/>
    <w:rPr>
      <w:rFonts w:ascii="Tahoma" w:hAnsi="Tahoma" w:cs="Tahoma"/>
      <w:sz w:val="16"/>
      <w:szCs w:val="16"/>
    </w:rPr>
  </w:style>
  <w:style w:type="character" w:styleId="Hyperlink">
    <w:name w:val="Hyperlink"/>
    <w:rsid w:val="00AD3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Templates\Portfolio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PortfolioDoc.dot</Template>
  <TotalTime>0</TotalTime>
  <Pages>1</Pages>
  <Words>305</Words>
  <Characters>1794</Characters>
  <Application>Microsoft Office Word</Application>
  <DocSecurity>0</DocSecurity>
  <Lines>30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2097</CharactersWithSpaces>
  <SharedDoc>false</SharedDoc>
  <HyperlinkBase>https://www.cabinet.qld.gov.au/documents/2013/Jul/PortPilotage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2013-10-02T23:56:00Z</cp:lastPrinted>
  <dcterms:created xsi:type="dcterms:W3CDTF">2017-10-25T00:51:00Z</dcterms:created>
  <dcterms:modified xsi:type="dcterms:W3CDTF">2018-03-06T01:18:00Z</dcterms:modified>
  <cp:category>Legislation,Transport</cp:category>
</cp:coreProperties>
</file>